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9C6" w:rsidRDefault="002E59C6" w:rsidP="002E59C6">
      <w:pPr>
        <w:spacing w:line="480" w:lineRule="auto"/>
        <w:jc w:val="center"/>
        <w:rPr>
          <w:rFonts w:ascii="Times New Roman" w:hAnsi="Times New Roman" w:cs="Times New Roman"/>
          <w:sz w:val="24"/>
          <w:szCs w:val="24"/>
        </w:rPr>
      </w:pPr>
      <w:bookmarkStart w:id="0" w:name="_GoBack"/>
      <w:bookmarkEnd w:id="0"/>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FA397D" w:rsidRPr="002E59C6" w:rsidRDefault="001C0B43" w:rsidP="002E59C6">
      <w:pPr>
        <w:spacing w:line="480" w:lineRule="auto"/>
        <w:jc w:val="center"/>
        <w:rPr>
          <w:rFonts w:ascii="Times New Roman" w:hAnsi="Times New Roman" w:cs="Times New Roman"/>
          <w:sz w:val="24"/>
          <w:szCs w:val="24"/>
        </w:rPr>
      </w:pPr>
      <w:r w:rsidRPr="002E59C6">
        <w:rPr>
          <w:rFonts w:ascii="Times New Roman" w:hAnsi="Times New Roman" w:cs="Times New Roman"/>
          <w:sz w:val="24"/>
          <w:szCs w:val="24"/>
        </w:rPr>
        <w:t>Impacts of infusion of a Capital of $ 200 000 into the Company</w:t>
      </w:r>
    </w:p>
    <w:p w:rsidR="002E59C6" w:rsidRPr="002E59C6" w:rsidRDefault="001C0B43" w:rsidP="002E59C6">
      <w:pPr>
        <w:spacing w:line="480" w:lineRule="auto"/>
        <w:jc w:val="center"/>
        <w:rPr>
          <w:rFonts w:ascii="Times New Roman" w:hAnsi="Times New Roman" w:cs="Times New Roman"/>
          <w:sz w:val="24"/>
          <w:szCs w:val="24"/>
        </w:rPr>
      </w:pPr>
      <w:r w:rsidRPr="002E59C6">
        <w:rPr>
          <w:rFonts w:ascii="Times New Roman" w:hAnsi="Times New Roman" w:cs="Times New Roman"/>
          <w:sz w:val="24"/>
          <w:szCs w:val="24"/>
        </w:rPr>
        <w:t>Name</w:t>
      </w:r>
    </w:p>
    <w:p w:rsidR="002E59C6" w:rsidRDefault="001C0B43" w:rsidP="002E59C6">
      <w:pPr>
        <w:spacing w:line="480" w:lineRule="auto"/>
        <w:jc w:val="center"/>
        <w:rPr>
          <w:rFonts w:ascii="Times New Roman" w:hAnsi="Times New Roman" w:cs="Times New Roman"/>
          <w:sz w:val="24"/>
          <w:szCs w:val="24"/>
        </w:rPr>
      </w:pPr>
      <w:r w:rsidRPr="002E59C6">
        <w:rPr>
          <w:rFonts w:ascii="Times New Roman" w:hAnsi="Times New Roman" w:cs="Times New Roman"/>
          <w:sz w:val="24"/>
          <w:szCs w:val="24"/>
        </w:rPr>
        <w:t>Institutional Affiliations</w:t>
      </w: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Default="002E59C6" w:rsidP="002E59C6">
      <w:pPr>
        <w:spacing w:line="480" w:lineRule="auto"/>
        <w:jc w:val="center"/>
        <w:rPr>
          <w:rFonts w:ascii="Times New Roman" w:hAnsi="Times New Roman" w:cs="Times New Roman"/>
          <w:sz w:val="24"/>
          <w:szCs w:val="24"/>
        </w:rPr>
      </w:pPr>
    </w:p>
    <w:p w:rsidR="002E59C6" w:rsidRPr="00656FA9" w:rsidRDefault="001C0B43" w:rsidP="006E6951">
      <w:pPr>
        <w:spacing w:line="480" w:lineRule="auto"/>
        <w:ind w:firstLine="720"/>
        <w:jc w:val="center"/>
        <w:rPr>
          <w:rFonts w:ascii="Times New Roman" w:hAnsi="Times New Roman" w:cs="Times New Roman"/>
          <w:b/>
          <w:sz w:val="24"/>
          <w:szCs w:val="24"/>
        </w:rPr>
      </w:pPr>
      <w:r w:rsidRPr="00656FA9">
        <w:rPr>
          <w:rFonts w:ascii="Times New Roman" w:hAnsi="Times New Roman" w:cs="Times New Roman"/>
          <w:b/>
          <w:sz w:val="24"/>
          <w:szCs w:val="24"/>
        </w:rPr>
        <w:lastRenderedPageBreak/>
        <w:t>Impacts of infusion of a Capital of $ 200 000 into the Company</w:t>
      </w:r>
    </w:p>
    <w:p w:rsidR="002E59C6" w:rsidRDefault="001C0B43" w:rsidP="006E695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great service Cleaning and Maintenance Company is one specialized organization in the cleaning and maintenance services to its clients, as the individual name entails. This company is owned by not more than 50 shareholders who are not related but have a clear vision of the other (they know each other). </w:t>
      </w:r>
      <w:r w:rsidR="00311A52">
        <w:rPr>
          <w:rFonts w:ascii="Times New Roman" w:hAnsi="Times New Roman" w:cs="Times New Roman"/>
          <w:sz w:val="24"/>
          <w:szCs w:val="24"/>
        </w:rPr>
        <w:t xml:space="preserve">This means that they take this to be a family business. </w:t>
      </w:r>
      <w:r w:rsidR="00770630">
        <w:rPr>
          <w:rFonts w:ascii="Times New Roman" w:hAnsi="Times New Roman" w:cs="Times New Roman"/>
          <w:sz w:val="24"/>
          <w:szCs w:val="24"/>
        </w:rPr>
        <w:t xml:space="preserve">Despite the fact, the business is in need of an urgent infusion of $ 200 000 from various sources to be used in the growth process. More specifically, the Company has the following option; </w:t>
      </w:r>
    </w:p>
    <w:p w:rsidR="00770630" w:rsidRDefault="001C0B43" w:rsidP="00F04BF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Obtain private debt financing</w:t>
      </w:r>
    </w:p>
    <w:p w:rsidR="00770630" w:rsidRDefault="001C0B43" w:rsidP="00F04BF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Seek out a private investor who would be willing to share ownership</w:t>
      </w:r>
    </w:p>
    <w:p w:rsidR="00770630" w:rsidRDefault="001C0B43" w:rsidP="00F04BF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Seek out offers for a private buy out</w:t>
      </w:r>
    </w:p>
    <w:p w:rsidR="00770630" w:rsidRDefault="001C0B43" w:rsidP="00F04BF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Issue Public debts, in terms of corporate bonds</w:t>
      </w:r>
    </w:p>
    <w:p w:rsidR="00770630" w:rsidRPr="00770630" w:rsidRDefault="001C0B43" w:rsidP="00F04BF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Issue public common stock</w:t>
      </w:r>
    </w:p>
    <w:p w:rsidR="00770630" w:rsidRDefault="001C0B43" w:rsidP="006E695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the aim of this paper is to provide a narrative about private debt, private transfer of ownership, private transfer of entire ownership</w:t>
      </w:r>
      <w:r w:rsidR="00EA3366">
        <w:rPr>
          <w:rFonts w:ascii="Times New Roman" w:hAnsi="Times New Roman" w:cs="Times New Roman"/>
          <w:sz w:val="24"/>
          <w:szCs w:val="24"/>
        </w:rPr>
        <w:t xml:space="preserve">, issuance of debt to the public and the public equity offering. Consequently, the research will attempt to provide a discussion of the implication of each narrative to the structure and cost of business. Finally, the paper will not be limited to the overall discussion of the impact of this infusion on the company’s financial statement. </w:t>
      </w:r>
    </w:p>
    <w:p w:rsidR="00E85A4C" w:rsidRDefault="001C0B43" w:rsidP="006E6951">
      <w:pPr>
        <w:spacing w:line="480" w:lineRule="auto"/>
        <w:ind w:firstLine="720"/>
        <w:rPr>
          <w:rFonts w:ascii="Times New Roman" w:hAnsi="Times New Roman" w:cs="Times New Roman"/>
          <w:b/>
          <w:sz w:val="24"/>
          <w:szCs w:val="24"/>
        </w:rPr>
      </w:pPr>
      <w:r w:rsidRPr="00E85A4C">
        <w:rPr>
          <w:rFonts w:ascii="Times New Roman" w:hAnsi="Times New Roman" w:cs="Times New Roman"/>
          <w:b/>
          <w:sz w:val="24"/>
          <w:szCs w:val="24"/>
        </w:rPr>
        <w:t>Narrative of the Alternatives</w:t>
      </w:r>
    </w:p>
    <w:p w:rsidR="009922DB" w:rsidRDefault="001C0B43" w:rsidP="006E695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Private debt is the total value of debt measured in terms of monetary value belonging to individuals or private businesses. </w:t>
      </w:r>
      <w:r w:rsidR="00A53355">
        <w:rPr>
          <w:rFonts w:ascii="Times New Roman" w:hAnsi="Times New Roman" w:cs="Times New Roman"/>
          <w:sz w:val="24"/>
          <w:szCs w:val="24"/>
        </w:rPr>
        <w:t>These forms</w:t>
      </w:r>
      <w:r>
        <w:rPr>
          <w:rFonts w:ascii="Times New Roman" w:hAnsi="Times New Roman" w:cs="Times New Roman"/>
          <w:sz w:val="24"/>
          <w:szCs w:val="24"/>
        </w:rPr>
        <w:t xml:space="preserve"> of debts may take various forms such as personal </w:t>
      </w:r>
      <w:r>
        <w:rPr>
          <w:rFonts w:ascii="Times New Roman" w:hAnsi="Times New Roman" w:cs="Times New Roman"/>
          <w:sz w:val="24"/>
          <w:szCs w:val="24"/>
        </w:rPr>
        <w:lastRenderedPageBreak/>
        <w:t>loans</w:t>
      </w:r>
      <w:r w:rsidR="00A53355">
        <w:rPr>
          <w:rFonts w:ascii="Times New Roman" w:hAnsi="Times New Roman" w:cs="Times New Roman"/>
          <w:sz w:val="24"/>
          <w:szCs w:val="24"/>
        </w:rPr>
        <w:t xml:space="preserve">, business loans, credits cards or corporate loans. </w:t>
      </w:r>
      <w:r>
        <w:rPr>
          <w:rFonts w:ascii="Times New Roman" w:hAnsi="Times New Roman" w:cs="Times New Roman"/>
          <w:sz w:val="24"/>
          <w:szCs w:val="24"/>
        </w:rPr>
        <w:t xml:space="preserve"> </w:t>
      </w:r>
      <w:r w:rsidR="00A53355">
        <w:rPr>
          <w:rFonts w:ascii="Times New Roman" w:hAnsi="Times New Roman" w:cs="Times New Roman"/>
          <w:sz w:val="24"/>
          <w:szCs w:val="24"/>
        </w:rPr>
        <w:t xml:space="preserve">According to </w:t>
      </w:r>
      <w:r w:rsidR="00A53355" w:rsidRPr="009922DB">
        <w:rPr>
          <w:rFonts w:ascii="Times New Roman" w:hAnsi="Times New Roman" w:cs="Times New Roman"/>
          <w:color w:val="222222"/>
          <w:sz w:val="24"/>
          <w:szCs w:val="24"/>
          <w:shd w:val="clear" w:color="auto" w:fill="FFFFFF"/>
        </w:rPr>
        <w:t>Schu</w:t>
      </w:r>
      <w:r>
        <w:rPr>
          <w:rFonts w:ascii="Times New Roman" w:hAnsi="Times New Roman" w:cs="Times New Roman"/>
          <w:color w:val="222222"/>
          <w:sz w:val="24"/>
          <w:szCs w:val="24"/>
          <w:shd w:val="clear" w:color="auto" w:fill="FFFFFF"/>
        </w:rPr>
        <w:t>larick</w:t>
      </w:r>
      <w:r w:rsidR="00A53355" w:rsidRPr="009922DB">
        <w:rPr>
          <w:rFonts w:ascii="Times New Roman" w:hAnsi="Times New Roman" w:cs="Times New Roman"/>
          <w:color w:val="222222"/>
          <w:sz w:val="24"/>
          <w:szCs w:val="24"/>
          <w:shd w:val="clear" w:color="auto" w:fill="FFFFFF"/>
        </w:rPr>
        <w:t xml:space="preserve"> (2014)</w:t>
      </w:r>
      <w:r>
        <w:rPr>
          <w:rFonts w:ascii="Times New Roman" w:hAnsi="Times New Roman" w:cs="Times New Roman"/>
          <w:color w:val="222222"/>
          <w:sz w:val="24"/>
          <w:szCs w:val="24"/>
          <w:shd w:val="clear" w:color="auto" w:fill="FFFFFF"/>
        </w:rPr>
        <w:t xml:space="preserve">, private debts are essential for private businesses because they assist in the expansion of the company's operations. These forms of private borrowing may take different forms, for instance, borrowing from banks, insurance companies or other </w:t>
      </w:r>
      <w:r w:rsidR="00EC4047">
        <w:rPr>
          <w:rFonts w:ascii="Times New Roman" w:hAnsi="Times New Roman" w:cs="Times New Roman"/>
          <w:color w:val="222222"/>
          <w:sz w:val="24"/>
          <w:szCs w:val="24"/>
          <w:shd w:val="clear" w:color="auto" w:fill="FFFFFF"/>
        </w:rPr>
        <w:t>speciality financial institutions.</w:t>
      </w:r>
    </w:p>
    <w:p w:rsidR="00EC4047" w:rsidRDefault="001C0B43" w:rsidP="006E695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private transfer of partial ownership of a business, on the other hand, takes the direction of allowing external parties to possess part of the ownership rights, without losing the entire rights. In this case, shareholders can decide to sell part of the business</w:t>
      </w:r>
      <w:r w:rsidR="00F04BF6">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assets in exchange for the $ 200 000. </w:t>
      </w:r>
      <w:r w:rsidR="00374598" w:rsidRPr="00374598">
        <w:rPr>
          <w:rFonts w:ascii="Times New Roman" w:hAnsi="Times New Roman" w:cs="Times New Roman"/>
          <w:color w:val="222222"/>
          <w:sz w:val="24"/>
          <w:szCs w:val="24"/>
          <w:shd w:val="clear" w:color="auto" w:fill="FFFFFF"/>
        </w:rPr>
        <w:t>Penrose (2017)</w:t>
      </w:r>
      <w:r w:rsidR="00374598">
        <w:rPr>
          <w:rFonts w:ascii="Times New Roman" w:hAnsi="Times New Roman" w:cs="Times New Roman"/>
          <w:color w:val="222222"/>
          <w:sz w:val="24"/>
          <w:szCs w:val="24"/>
          <w:shd w:val="clear" w:color="auto" w:fill="FFFFFF"/>
        </w:rPr>
        <w:t xml:space="preserve"> argues that the main aim of partial ownership of business is to generate funding by the provision of partial services. To achieve this, a business may decide to provide a buyer with 51% of the stock while still retain the management</w:t>
      </w:r>
      <w:r w:rsidR="00F04BF6">
        <w:rPr>
          <w:rFonts w:ascii="Times New Roman" w:hAnsi="Times New Roman" w:cs="Times New Roman"/>
          <w:color w:val="222222"/>
          <w:sz w:val="24"/>
          <w:szCs w:val="24"/>
          <w:shd w:val="clear" w:color="auto" w:fill="FFFFFF"/>
        </w:rPr>
        <w:t xml:space="preserve"> rights</w:t>
      </w:r>
      <w:r w:rsidR="00374598">
        <w:rPr>
          <w:rFonts w:ascii="Times New Roman" w:hAnsi="Times New Roman" w:cs="Times New Roman"/>
          <w:color w:val="222222"/>
          <w:sz w:val="24"/>
          <w:szCs w:val="24"/>
          <w:shd w:val="clear" w:color="auto" w:fill="FFFFFF"/>
        </w:rPr>
        <w:t xml:space="preserve">.  </w:t>
      </w:r>
    </w:p>
    <w:p w:rsidR="00A53355" w:rsidRDefault="001C0B43" w:rsidP="006E6951">
      <w:pPr>
        <w:spacing w:line="480" w:lineRule="auto"/>
        <w:ind w:firstLine="720"/>
        <w:rPr>
          <w:rFonts w:ascii="Times New Roman" w:hAnsi="Times New Roman" w:cs="Times New Roman"/>
          <w:color w:val="000000"/>
          <w:sz w:val="24"/>
          <w:szCs w:val="24"/>
          <w:shd w:val="clear" w:color="auto" w:fill="FFFFFF"/>
        </w:rPr>
      </w:pPr>
      <w:r w:rsidRPr="00374598">
        <w:rPr>
          <w:rFonts w:ascii="Times New Roman" w:hAnsi="Times New Roman" w:cs="Times New Roman"/>
          <w:color w:val="000000"/>
          <w:sz w:val="24"/>
          <w:szCs w:val="24"/>
          <w:shd w:val="clear" w:color="auto" w:fill="FFFFFF"/>
        </w:rPr>
        <w:t xml:space="preserve">In line with the private transfer of entire business, Great service Cleaning and Maintenance Company </w:t>
      </w:r>
      <w:r w:rsidR="00790BBB">
        <w:rPr>
          <w:rFonts w:ascii="Times New Roman" w:hAnsi="Times New Roman" w:cs="Times New Roman"/>
          <w:color w:val="000000"/>
          <w:sz w:val="24"/>
          <w:szCs w:val="24"/>
          <w:shd w:val="clear" w:color="auto" w:fill="FFFFFF"/>
        </w:rPr>
        <w:t xml:space="preserve">may decide to fully transfer the ownership of the business through a direct cash sale, purchase agreement through leasing or owner financing agreement. Through direct sales, the business may be termed to have been fully sold, meaning that the shareholders will </w:t>
      </w:r>
      <w:r w:rsidR="0084030F">
        <w:rPr>
          <w:rFonts w:ascii="Times New Roman" w:hAnsi="Times New Roman" w:cs="Times New Roman"/>
          <w:color w:val="000000"/>
          <w:sz w:val="24"/>
          <w:szCs w:val="24"/>
          <w:shd w:val="clear" w:color="auto" w:fill="FFFFFF"/>
        </w:rPr>
        <w:t xml:space="preserve">no longer have obligations to the company’s debts, shares or profit share. </w:t>
      </w:r>
    </w:p>
    <w:p w:rsidR="00DB42AF" w:rsidRDefault="001C0B43" w:rsidP="006E695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000000"/>
          <w:sz w:val="24"/>
          <w:szCs w:val="24"/>
          <w:shd w:val="clear" w:color="auto" w:fill="FFFFFF"/>
        </w:rPr>
        <w:t xml:space="preserve">According to </w:t>
      </w:r>
      <w:r w:rsidRPr="00DB42AF">
        <w:rPr>
          <w:rFonts w:ascii="Times New Roman" w:hAnsi="Times New Roman" w:cs="Times New Roman"/>
          <w:color w:val="222222"/>
          <w:sz w:val="24"/>
          <w:szCs w:val="24"/>
          <w:shd w:val="clear" w:color="auto" w:fill="FFFFFF"/>
        </w:rPr>
        <w:t>Panizza and Presbitero (2013)</w:t>
      </w:r>
      <w:r>
        <w:rPr>
          <w:rFonts w:ascii="Times New Roman" w:hAnsi="Times New Roman" w:cs="Times New Roman"/>
          <w:color w:val="222222"/>
          <w:sz w:val="24"/>
          <w:szCs w:val="24"/>
          <w:shd w:val="clear" w:color="auto" w:fill="FFFFFF"/>
        </w:rPr>
        <w:t xml:space="preserve">, public debt </w:t>
      </w:r>
      <w:r w:rsidR="007C400F">
        <w:rPr>
          <w:rFonts w:ascii="Times New Roman" w:hAnsi="Times New Roman" w:cs="Times New Roman"/>
          <w:color w:val="222222"/>
          <w:sz w:val="24"/>
          <w:szCs w:val="24"/>
          <w:shd w:val="clear" w:color="auto" w:fill="FFFFFF"/>
        </w:rPr>
        <w:t xml:space="preserve">issuance involves a financial obligation between a borrower and the lender. This approach allows the issuer to raise funds from lenders by promising to pay the owed amount at the end or maturity of the contract. Panizza defines this as a corporate obligation which involves bonds or debentures. Additionally, it may be issued in terms of leases, certificates or other agreements between the two parties involved (lender and borrower). </w:t>
      </w:r>
    </w:p>
    <w:p w:rsidR="00A5296B" w:rsidRDefault="001C0B43" w:rsidP="006E695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Finally, public equity offering (PEO) or sometimes known as the Initial Public Offering (IPO)</w:t>
      </w:r>
      <w:r w:rsidR="009D5F80">
        <w:rPr>
          <w:rFonts w:ascii="Times New Roman" w:hAnsi="Times New Roman" w:cs="Times New Roman"/>
          <w:color w:val="222222"/>
          <w:sz w:val="24"/>
          <w:szCs w:val="24"/>
          <w:shd w:val="clear" w:color="auto" w:fill="FFFFFF"/>
        </w:rPr>
        <w:t xml:space="preserve"> is an approach which basically allows a private company such as The Great service Cleaning Company to share its shares and other financial instruments to the public in order to raise funds for the overall expansion process. Furthermore, the raised funds can be used as a basis for the attraction of more investors. The financial tools mentioned in this case may include preferred shares, traded able assets and the equity stake of the shareholders</w:t>
      </w:r>
      <w:r w:rsidR="005B37C2">
        <w:rPr>
          <w:rFonts w:ascii="Times New Roman" w:hAnsi="Times New Roman" w:cs="Times New Roman"/>
          <w:color w:val="222222"/>
          <w:sz w:val="24"/>
          <w:szCs w:val="24"/>
          <w:shd w:val="clear" w:color="auto" w:fill="FFFFFF"/>
        </w:rPr>
        <w:t xml:space="preserve"> </w:t>
      </w:r>
      <w:r w:rsidR="005B37C2" w:rsidRPr="005B37C2">
        <w:rPr>
          <w:rFonts w:ascii="Times New Roman" w:hAnsi="Times New Roman" w:cs="Times New Roman"/>
          <w:color w:val="222222"/>
          <w:sz w:val="24"/>
          <w:szCs w:val="24"/>
          <w:shd w:val="clear" w:color="auto" w:fill="FFFFFF"/>
        </w:rPr>
        <w:t>(Andrews and Walle, 2013)</w:t>
      </w:r>
      <w:r w:rsidR="009D5F80" w:rsidRPr="005B37C2">
        <w:rPr>
          <w:rFonts w:ascii="Times New Roman" w:hAnsi="Times New Roman" w:cs="Times New Roman"/>
          <w:color w:val="222222"/>
          <w:sz w:val="24"/>
          <w:szCs w:val="24"/>
          <w:shd w:val="clear" w:color="auto" w:fill="FFFFFF"/>
        </w:rPr>
        <w:t xml:space="preserve">.  </w:t>
      </w:r>
    </w:p>
    <w:p w:rsidR="005B37C2" w:rsidRPr="003B3847" w:rsidRDefault="001C0B43" w:rsidP="006E6951">
      <w:pPr>
        <w:spacing w:line="480" w:lineRule="auto"/>
        <w:ind w:firstLine="720"/>
        <w:jc w:val="center"/>
        <w:rPr>
          <w:rFonts w:ascii="Times New Roman" w:hAnsi="Times New Roman" w:cs="Times New Roman"/>
          <w:b/>
          <w:color w:val="222222"/>
          <w:sz w:val="24"/>
          <w:szCs w:val="24"/>
          <w:shd w:val="clear" w:color="auto" w:fill="FFFFFF"/>
        </w:rPr>
      </w:pPr>
      <w:r w:rsidRPr="005B37C2">
        <w:rPr>
          <w:rFonts w:ascii="Times New Roman" w:hAnsi="Times New Roman" w:cs="Times New Roman"/>
          <w:b/>
          <w:color w:val="222222"/>
          <w:sz w:val="24"/>
          <w:szCs w:val="24"/>
          <w:shd w:val="clear" w:color="auto" w:fill="FFFFFF"/>
        </w:rPr>
        <w:t>Impact of Each Alternative</w:t>
      </w:r>
    </w:p>
    <w:p w:rsidR="0043023F" w:rsidRDefault="001C0B43" w:rsidP="006E6951">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First, w</w:t>
      </w:r>
      <w:r w:rsidR="003B3847" w:rsidRPr="003B3847">
        <w:rPr>
          <w:rFonts w:ascii="Times New Roman" w:hAnsi="Times New Roman" w:cs="Times New Roman"/>
          <w:color w:val="000000"/>
          <w:sz w:val="24"/>
          <w:szCs w:val="24"/>
        </w:rPr>
        <w:t>ith the attainment of the $ 20</w:t>
      </w:r>
      <w:r w:rsidR="003B3847">
        <w:rPr>
          <w:rFonts w:ascii="Times New Roman" w:hAnsi="Times New Roman" w:cs="Times New Roman"/>
          <w:color w:val="000000"/>
          <w:sz w:val="24"/>
          <w:szCs w:val="24"/>
        </w:rPr>
        <w:t xml:space="preserve">0 000 in terms of private </w:t>
      </w:r>
      <w:r w:rsidR="0070675B">
        <w:rPr>
          <w:rFonts w:ascii="Times New Roman" w:hAnsi="Times New Roman" w:cs="Times New Roman"/>
          <w:color w:val="000000"/>
          <w:sz w:val="24"/>
          <w:szCs w:val="24"/>
        </w:rPr>
        <w:t>debts</w:t>
      </w:r>
      <w:r w:rsidR="003B3847">
        <w:rPr>
          <w:rFonts w:ascii="Times New Roman" w:hAnsi="Times New Roman" w:cs="Times New Roman"/>
          <w:color w:val="000000"/>
          <w:sz w:val="24"/>
          <w:szCs w:val="24"/>
        </w:rPr>
        <w:t xml:space="preserve"> will experience a rise in the interest of expenses as well as the cash flow. </w:t>
      </w:r>
      <w:r w:rsidR="00A6607A">
        <w:rPr>
          <w:rFonts w:ascii="Times New Roman" w:hAnsi="Times New Roman" w:cs="Times New Roman"/>
          <w:color w:val="000000"/>
          <w:sz w:val="24"/>
          <w:szCs w:val="24"/>
        </w:rPr>
        <w:t xml:space="preserve">Concurrently, the firm risk suffering from reduced investors, a majority are likely to become nervous whether the Company would still be in a position to meet its financial obligation. </w:t>
      </w:r>
      <w:r>
        <w:rPr>
          <w:rFonts w:ascii="Times New Roman" w:hAnsi="Times New Roman" w:cs="Times New Roman"/>
          <w:color w:val="000000"/>
          <w:sz w:val="24"/>
          <w:szCs w:val="24"/>
        </w:rPr>
        <w:t>The available stakeholders will also develop a remarkable anxiety. This will mean a reduction in the EPS hence lowering the price of stocks. In overall, if the shareholders become nervous, there are high risks of some withdrawing, thus, reducing the</w:t>
      </w:r>
      <w:r w:rsidR="00AC01AF">
        <w:rPr>
          <w:rFonts w:ascii="Times New Roman" w:hAnsi="Times New Roman" w:cs="Times New Roman"/>
          <w:color w:val="000000"/>
          <w:sz w:val="24"/>
          <w:szCs w:val="24"/>
        </w:rPr>
        <w:t xml:space="preserve"> amount of</w:t>
      </w:r>
      <w:r>
        <w:rPr>
          <w:rFonts w:ascii="Times New Roman" w:hAnsi="Times New Roman" w:cs="Times New Roman"/>
          <w:color w:val="000000"/>
          <w:sz w:val="24"/>
          <w:szCs w:val="24"/>
        </w:rPr>
        <w:t xml:space="preserve"> capital structure.</w:t>
      </w:r>
    </w:p>
    <w:p w:rsidR="005E646A" w:rsidRDefault="001C0B43" w:rsidP="006E6951">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Secondly, the transfer of the company’s ownership either partly or the entire ownership would have the same implication. To begin with, there will be an increased capital structure as a result of the corresponding increase in market lavage. This means that the adoption of the $ 200 000 in form of capital will not only contribute to the capital structure, but also to the cost of capital by about 14%. Consequently, the partial transfer will oversee the improved performance as the new investors struggle to achieve something from their injections. With the contribution, it </w:t>
      </w:r>
      <w:r>
        <w:rPr>
          <w:rFonts w:ascii="Times New Roman" w:hAnsi="Times New Roman" w:cs="Times New Roman"/>
          <w:color w:val="000000"/>
          <w:sz w:val="24"/>
          <w:szCs w:val="24"/>
        </w:rPr>
        <w:lastRenderedPageBreak/>
        <w:t>follows that the company's structure broadens, hence, the ability to meet their short and long-term obligations.</w:t>
      </w:r>
    </w:p>
    <w:p w:rsidR="0043023F" w:rsidRDefault="001C0B43" w:rsidP="006E6951">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 xml:space="preserve">Increased debt issuance as an alternative for the Company </w:t>
      </w:r>
      <w:r w:rsidR="00ED3E2F">
        <w:rPr>
          <w:rFonts w:ascii="Times New Roman" w:hAnsi="Times New Roman" w:cs="Times New Roman"/>
          <w:color w:val="000000"/>
          <w:sz w:val="24"/>
          <w:szCs w:val="24"/>
        </w:rPr>
        <w:t xml:space="preserve">would have </w:t>
      </w:r>
      <w:r>
        <w:rPr>
          <w:rFonts w:ascii="Times New Roman" w:hAnsi="Times New Roman" w:cs="Times New Roman"/>
          <w:color w:val="000000"/>
          <w:sz w:val="24"/>
          <w:szCs w:val="24"/>
        </w:rPr>
        <w:t xml:space="preserve">a benefit of the increased expense because of the corresponding decrease in the amount of taxable income. </w:t>
      </w:r>
      <w:r w:rsidR="00ED3E2F" w:rsidRPr="00ED3E2F">
        <w:rPr>
          <w:rFonts w:ascii="Times New Roman" w:hAnsi="Times New Roman" w:cs="Times New Roman"/>
          <w:sz w:val="24"/>
          <w:szCs w:val="24"/>
        </w:rPr>
        <w:t>The s</w:t>
      </w:r>
      <w:r w:rsidR="00AC01AF">
        <w:rPr>
          <w:rFonts w:ascii="Times New Roman" w:hAnsi="Times New Roman" w:cs="Times New Roman"/>
          <w:sz w:val="24"/>
          <w:szCs w:val="24"/>
        </w:rPr>
        <w:t>tructure and cost of capital is</w:t>
      </w:r>
      <w:r w:rsidR="00ED3E2F" w:rsidRPr="00ED3E2F">
        <w:rPr>
          <w:rFonts w:ascii="Times New Roman" w:hAnsi="Times New Roman" w:cs="Times New Roman"/>
          <w:sz w:val="24"/>
          <w:szCs w:val="24"/>
        </w:rPr>
        <w:t xml:space="preserve"> likely to reduce more from over 1.3 million to a less</w:t>
      </w:r>
      <w:r w:rsidR="00ED3E2F">
        <w:rPr>
          <w:rFonts w:ascii="Times New Roman" w:hAnsi="Times New Roman" w:cs="Times New Roman"/>
          <w:sz w:val="24"/>
          <w:szCs w:val="24"/>
        </w:rPr>
        <w:t xml:space="preserve"> figure. Specifically, given that the shareholders are likely to become nervous with the approach due to the reduced ability to meet its financial responsibilities, the majority will pull out of the Company. Moreover, the stockholders and lenders will take the same course. If this becomes the new habit, it is evident that </w:t>
      </w:r>
      <w:r w:rsidR="00AB3ABE">
        <w:rPr>
          <w:rFonts w:ascii="Times New Roman" w:hAnsi="Times New Roman" w:cs="Times New Roman"/>
          <w:sz w:val="24"/>
          <w:szCs w:val="24"/>
        </w:rPr>
        <w:t>the Company’s capital structure will receive a huge blow. Finally, the equity to debt ratio will increase in the same measure, therefore, impacting negatively on the cost of capital.</w:t>
      </w:r>
    </w:p>
    <w:p w:rsidR="00AB3ABE" w:rsidRDefault="001C0B43" w:rsidP="006E6951">
      <w:pPr>
        <w:spacing w:line="480" w:lineRule="auto"/>
        <w:ind w:firstLine="720"/>
        <w:rPr>
          <w:rFonts w:ascii="Times New Roman" w:hAnsi="Times New Roman" w:cs="Times New Roman"/>
          <w:iCs/>
          <w:sz w:val="24"/>
          <w:szCs w:val="24"/>
        </w:rPr>
      </w:pPr>
      <w:r>
        <w:rPr>
          <w:rFonts w:ascii="Times New Roman" w:hAnsi="Times New Roman" w:cs="Times New Roman"/>
          <w:iCs/>
          <w:sz w:val="24"/>
          <w:szCs w:val="24"/>
        </w:rPr>
        <w:t xml:space="preserve">Public equity measures the amount of weighted cost of capital, similar to the cost of debt. If the Company decides to use the issuance of equity to the public, it follows that the amount of equity will not balance the cost of debts. The amount and cost of equity will typically be high, hence contributing to </w:t>
      </w:r>
      <w:r w:rsidR="00445979">
        <w:rPr>
          <w:rFonts w:ascii="Times New Roman" w:hAnsi="Times New Roman" w:cs="Times New Roman"/>
          <w:iCs/>
          <w:sz w:val="24"/>
          <w:szCs w:val="24"/>
        </w:rPr>
        <w:t>the increase both in the amount</w:t>
      </w:r>
      <w:r>
        <w:rPr>
          <w:rFonts w:ascii="Times New Roman" w:hAnsi="Times New Roman" w:cs="Times New Roman"/>
          <w:iCs/>
          <w:sz w:val="24"/>
          <w:szCs w:val="24"/>
        </w:rPr>
        <w:t xml:space="preserve">, structure and cost of capital for the Company. </w:t>
      </w:r>
      <w:r w:rsidR="00445979">
        <w:rPr>
          <w:rFonts w:ascii="Times New Roman" w:hAnsi="Times New Roman" w:cs="Times New Roman"/>
          <w:iCs/>
          <w:sz w:val="24"/>
          <w:szCs w:val="24"/>
        </w:rPr>
        <w:t>This will eventually assist up the game of growth and performance.</w:t>
      </w:r>
    </w:p>
    <w:p w:rsidR="00445979" w:rsidRPr="00445979" w:rsidRDefault="001C0B43" w:rsidP="006E6951">
      <w:pPr>
        <w:spacing w:line="480" w:lineRule="auto"/>
        <w:ind w:firstLine="720"/>
        <w:jc w:val="center"/>
        <w:rPr>
          <w:rFonts w:ascii="Times New Roman" w:hAnsi="Times New Roman" w:cs="Times New Roman"/>
          <w:b/>
          <w:iCs/>
          <w:sz w:val="24"/>
          <w:szCs w:val="24"/>
        </w:rPr>
      </w:pPr>
      <w:r w:rsidRPr="00445979">
        <w:rPr>
          <w:rFonts w:ascii="Times New Roman" w:hAnsi="Times New Roman" w:cs="Times New Roman"/>
          <w:b/>
          <w:iCs/>
          <w:sz w:val="24"/>
          <w:szCs w:val="24"/>
        </w:rPr>
        <w:t>Impacts of infusion of Capital of $ 200 000 on the financial statement</w:t>
      </w:r>
      <w:r w:rsidR="0070675B">
        <w:rPr>
          <w:rFonts w:ascii="Times New Roman" w:hAnsi="Times New Roman" w:cs="Times New Roman"/>
          <w:b/>
          <w:iCs/>
          <w:sz w:val="24"/>
          <w:szCs w:val="24"/>
        </w:rPr>
        <w:t>s</w:t>
      </w:r>
      <w:r w:rsidRPr="00445979">
        <w:rPr>
          <w:rFonts w:ascii="Times New Roman" w:hAnsi="Times New Roman" w:cs="Times New Roman"/>
          <w:b/>
          <w:iCs/>
          <w:sz w:val="24"/>
          <w:szCs w:val="24"/>
        </w:rPr>
        <w:t xml:space="preserve"> of the Company</w:t>
      </w:r>
    </w:p>
    <w:p w:rsidR="00445979" w:rsidRPr="00445979" w:rsidRDefault="001C0B43" w:rsidP="006E6951">
      <w:pPr>
        <w:spacing w:before="100" w:beforeAutospacing="1" w:after="100" w:afterAutospacing="1" w:line="480" w:lineRule="auto"/>
        <w:ind w:firstLine="720"/>
        <w:rPr>
          <w:rFonts w:ascii="Times New Roman" w:eastAsia="Times New Roman" w:hAnsi="Times New Roman" w:cs="Times New Roman"/>
          <w:color w:val="000000"/>
          <w:sz w:val="24"/>
          <w:szCs w:val="24"/>
        </w:rPr>
      </w:pPr>
      <w:r w:rsidRPr="00445979">
        <w:rPr>
          <w:rFonts w:ascii="Times New Roman" w:eastAsia="Times New Roman" w:hAnsi="Times New Roman" w:cs="Times New Roman"/>
          <w:color w:val="000000"/>
          <w:sz w:val="24"/>
          <w:szCs w:val="24"/>
        </w:rPr>
        <w:t xml:space="preserve">Infusion of the capital of $ 200 000 in the capital will have significant effects on either side of the financial statement, the balance sheet included. </w:t>
      </w:r>
      <w:r w:rsidR="00186F6D">
        <w:rPr>
          <w:rFonts w:ascii="Times New Roman" w:eastAsia="Times New Roman" w:hAnsi="Times New Roman" w:cs="Times New Roman"/>
          <w:color w:val="000000"/>
          <w:sz w:val="24"/>
          <w:szCs w:val="24"/>
        </w:rPr>
        <w:t xml:space="preserve">More specifically, there will be a positive item on the amount of owner’s equity. It is expected that with this amount, owner’s </w:t>
      </w:r>
      <w:r w:rsidR="00186F6D">
        <w:rPr>
          <w:rFonts w:ascii="Times New Roman" w:eastAsia="Times New Roman" w:hAnsi="Times New Roman" w:cs="Times New Roman"/>
          <w:color w:val="000000"/>
          <w:sz w:val="24"/>
          <w:szCs w:val="24"/>
        </w:rPr>
        <w:lastRenderedPageBreak/>
        <w:t xml:space="preserve">equity (capital) will increase in the same amount, similar to the cash flows section from financing activities. Consequently, it follows that the par value of common stock on the balance sheet will also be affected. If the Great service Cleaning and Maintenance </w:t>
      </w:r>
      <w:r w:rsidR="00090012">
        <w:rPr>
          <w:rFonts w:ascii="Times New Roman" w:eastAsia="Times New Roman" w:hAnsi="Times New Roman" w:cs="Times New Roman"/>
          <w:color w:val="000000"/>
          <w:sz w:val="24"/>
          <w:szCs w:val="24"/>
        </w:rPr>
        <w:t>Company</w:t>
      </w:r>
      <w:r w:rsidR="00186F6D">
        <w:rPr>
          <w:rFonts w:ascii="Times New Roman" w:eastAsia="Times New Roman" w:hAnsi="Times New Roman" w:cs="Times New Roman"/>
          <w:color w:val="000000"/>
          <w:sz w:val="24"/>
          <w:szCs w:val="24"/>
        </w:rPr>
        <w:t xml:space="preserve"> raises this amount </w:t>
      </w:r>
      <w:r w:rsidR="00090012">
        <w:rPr>
          <w:rFonts w:ascii="Times New Roman" w:eastAsia="Times New Roman" w:hAnsi="Times New Roman" w:cs="Times New Roman"/>
          <w:color w:val="000000"/>
          <w:sz w:val="24"/>
          <w:szCs w:val="24"/>
        </w:rPr>
        <w:t xml:space="preserve">from debt financing, there will be an equivalent positive increase in the financing section of the cash flow statement. Also, the result will be an increase in the value of liabilities on the balance sheet. The long-term accrued liabilities will increase from 220 250 to 420 250. Increase in the value of interests on this outstanding debt will directly reduce the net income and in the long run, the cash flow in the business. </w:t>
      </w:r>
      <w:r w:rsidR="0070675B">
        <w:rPr>
          <w:rFonts w:ascii="Times New Roman" w:eastAsia="Times New Roman" w:hAnsi="Times New Roman" w:cs="Times New Roman"/>
          <w:color w:val="000000"/>
          <w:sz w:val="24"/>
          <w:szCs w:val="24"/>
        </w:rPr>
        <w:t xml:space="preserve">However, the decrease in net income will be a lift from the taxable income as the Company will now pay fewer taxes. In general, the infusion of the amount will increase the lavage ratios such as debt to total assets and debt to equity. Finally, it follows that the infusion of $ 200 000 into the Company with have a significant impact </w:t>
      </w:r>
      <w:r w:rsidR="008E6AB8">
        <w:rPr>
          <w:rFonts w:ascii="Times New Roman" w:eastAsia="Times New Roman" w:hAnsi="Times New Roman" w:cs="Times New Roman"/>
          <w:color w:val="000000"/>
          <w:sz w:val="24"/>
          <w:szCs w:val="24"/>
        </w:rPr>
        <w:t>on the financial statements of the business, as discussed in the context above.</w:t>
      </w:r>
    </w:p>
    <w:p w:rsidR="003B3847" w:rsidRDefault="001C0B43" w:rsidP="00F7063A">
      <w:pPr>
        <w:spacing w:line="480" w:lineRule="auto"/>
        <w:rPr>
          <w:rFonts w:ascii="Arial" w:hAnsi="Arial" w:cs="Arial"/>
          <w:color w:val="000000"/>
        </w:rPr>
      </w:pPr>
      <w:r w:rsidRPr="00F7063A">
        <w:rPr>
          <w:rFonts w:ascii="Arial" w:eastAsia="Times New Roman" w:hAnsi="Arial" w:cs="Arial"/>
          <w:color w:val="000000"/>
          <w:sz w:val="24"/>
          <w:szCs w:val="24"/>
        </w:rPr>
        <w:br/>
      </w:r>
      <w:r w:rsidR="005B37C2">
        <w:rPr>
          <w:rFonts w:ascii="Arial" w:hAnsi="Arial" w:cs="Arial"/>
          <w:color w:val="000000"/>
        </w:rPr>
        <w:br/>
      </w:r>
    </w:p>
    <w:p w:rsidR="005B37C2" w:rsidRPr="005B37C2" w:rsidRDefault="001C0B43" w:rsidP="003B3847">
      <w:pPr>
        <w:spacing w:line="480" w:lineRule="auto"/>
        <w:rPr>
          <w:rFonts w:ascii="Times New Roman" w:hAnsi="Times New Roman" w:cs="Times New Roman"/>
          <w:color w:val="222222"/>
          <w:sz w:val="24"/>
          <w:szCs w:val="24"/>
          <w:shd w:val="clear" w:color="auto" w:fill="FFFFFF"/>
        </w:rPr>
      </w:pPr>
      <w:r>
        <w:rPr>
          <w:rFonts w:ascii="Arial" w:hAnsi="Arial" w:cs="Arial"/>
          <w:color w:val="000000"/>
        </w:rPr>
        <w:br/>
      </w:r>
      <w:r>
        <w:rPr>
          <w:rFonts w:ascii="Arial" w:hAnsi="Arial" w:cs="Arial"/>
          <w:color w:val="000000"/>
        </w:rPr>
        <w:br/>
      </w:r>
    </w:p>
    <w:p w:rsidR="00A5296B" w:rsidRDefault="00A5296B" w:rsidP="00DB42AF">
      <w:pPr>
        <w:spacing w:line="480" w:lineRule="auto"/>
        <w:rPr>
          <w:rFonts w:ascii="Times New Roman" w:hAnsi="Times New Roman" w:cs="Times New Roman"/>
          <w:color w:val="222222"/>
          <w:sz w:val="24"/>
          <w:szCs w:val="24"/>
          <w:shd w:val="clear" w:color="auto" w:fill="FFFFFF"/>
        </w:rPr>
      </w:pPr>
    </w:p>
    <w:p w:rsidR="006E6951" w:rsidRDefault="006E6951" w:rsidP="00770630">
      <w:pPr>
        <w:spacing w:line="480" w:lineRule="auto"/>
        <w:rPr>
          <w:rFonts w:ascii="Times New Roman" w:hAnsi="Times New Roman" w:cs="Times New Roman"/>
          <w:sz w:val="24"/>
          <w:szCs w:val="24"/>
        </w:rPr>
      </w:pPr>
    </w:p>
    <w:p w:rsidR="006E6951" w:rsidRDefault="006E6951" w:rsidP="00770630">
      <w:pPr>
        <w:spacing w:line="480" w:lineRule="auto"/>
        <w:rPr>
          <w:rFonts w:ascii="Times New Roman" w:hAnsi="Times New Roman" w:cs="Times New Roman"/>
          <w:sz w:val="24"/>
          <w:szCs w:val="24"/>
        </w:rPr>
      </w:pPr>
    </w:p>
    <w:p w:rsidR="00A53355" w:rsidRPr="00656FA9" w:rsidRDefault="001C0B43" w:rsidP="006E6951">
      <w:pPr>
        <w:spacing w:line="480" w:lineRule="auto"/>
        <w:jc w:val="center"/>
        <w:rPr>
          <w:rFonts w:ascii="Times New Roman" w:hAnsi="Times New Roman" w:cs="Times New Roman"/>
          <w:b/>
          <w:sz w:val="24"/>
          <w:szCs w:val="24"/>
        </w:rPr>
      </w:pPr>
      <w:r w:rsidRPr="00656FA9">
        <w:rPr>
          <w:rFonts w:ascii="Times New Roman" w:hAnsi="Times New Roman" w:cs="Times New Roman"/>
          <w:b/>
          <w:sz w:val="24"/>
          <w:szCs w:val="24"/>
        </w:rPr>
        <w:lastRenderedPageBreak/>
        <w:t>References</w:t>
      </w:r>
    </w:p>
    <w:p w:rsidR="006E6951" w:rsidRPr="006E6951" w:rsidRDefault="001C0B43" w:rsidP="006E6951">
      <w:pPr>
        <w:spacing w:line="480" w:lineRule="auto"/>
        <w:ind w:left="720" w:hanging="720"/>
        <w:rPr>
          <w:rFonts w:ascii="Times New Roman" w:hAnsi="Times New Roman" w:cs="Times New Roman"/>
          <w:sz w:val="24"/>
          <w:szCs w:val="24"/>
        </w:rPr>
      </w:pPr>
      <w:r w:rsidRPr="006E6951">
        <w:rPr>
          <w:rFonts w:ascii="Times New Roman" w:hAnsi="Times New Roman" w:cs="Times New Roman"/>
          <w:color w:val="222222"/>
          <w:sz w:val="24"/>
          <w:szCs w:val="24"/>
          <w:shd w:val="clear" w:color="auto" w:fill="FFFFFF"/>
        </w:rPr>
        <w:t>Andrews, R., &amp; Van de Walle, S. (2013). New public management and citizens' perceptions of local service efficiency, responsiveness, equity and effectiveness. </w:t>
      </w:r>
      <w:r w:rsidRPr="006E6951">
        <w:rPr>
          <w:rFonts w:ascii="Times New Roman" w:hAnsi="Times New Roman" w:cs="Times New Roman"/>
          <w:i/>
          <w:iCs/>
          <w:color w:val="222222"/>
          <w:sz w:val="24"/>
          <w:szCs w:val="24"/>
          <w:shd w:val="clear" w:color="auto" w:fill="FFFFFF"/>
        </w:rPr>
        <w:t>Public Management Review</w:t>
      </w:r>
      <w:r w:rsidRPr="006E6951">
        <w:rPr>
          <w:rFonts w:ascii="Times New Roman" w:hAnsi="Times New Roman" w:cs="Times New Roman"/>
          <w:color w:val="222222"/>
          <w:sz w:val="24"/>
          <w:szCs w:val="24"/>
          <w:shd w:val="clear" w:color="auto" w:fill="FFFFFF"/>
        </w:rPr>
        <w:t>, </w:t>
      </w:r>
      <w:r w:rsidRPr="006E6951">
        <w:rPr>
          <w:rFonts w:ascii="Times New Roman" w:hAnsi="Times New Roman" w:cs="Times New Roman"/>
          <w:i/>
          <w:iCs/>
          <w:color w:val="222222"/>
          <w:sz w:val="24"/>
          <w:szCs w:val="24"/>
          <w:shd w:val="clear" w:color="auto" w:fill="FFFFFF"/>
        </w:rPr>
        <w:t>15</w:t>
      </w:r>
      <w:r w:rsidRPr="006E6951">
        <w:rPr>
          <w:rFonts w:ascii="Times New Roman" w:hAnsi="Times New Roman" w:cs="Times New Roman"/>
          <w:color w:val="222222"/>
          <w:sz w:val="24"/>
          <w:szCs w:val="24"/>
          <w:shd w:val="clear" w:color="auto" w:fill="FFFFFF"/>
        </w:rPr>
        <w:t>(5), 762-783.</w:t>
      </w:r>
    </w:p>
    <w:p w:rsidR="006E6951" w:rsidRPr="006E6951" w:rsidRDefault="001C0B43" w:rsidP="006E6951">
      <w:pPr>
        <w:spacing w:line="480" w:lineRule="auto"/>
        <w:ind w:left="720" w:hanging="720"/>
        <w:rPr>
          <w:rFonts w:ascii="Times New Roman" w:hAnsi="Times New Roman" w:cs="Times New Roman"/>
          <w:color w:val="222222"/>
          <w:sz w:val="24"/>
          <w:szCs w:val="24"/>
          <w:shd w:val="clear" w:color="auto" w:fill="FFFFFF"/>
        </w:rPr>
      </w:pPr>
      <w:r w:rsidRPr="006E6951">
        <w:rPr>
          <w:rFonts w:ascii="Times New Roman" w:hAnsi="Times New Roman" w:cs="Times New Roman"/>
          <w:color w:val="222222"/>
          <w:sz w:val="24"/>
          <w:szCs w:val="24"/>
          <w:shd w:val="clear" w:color="auto" w:fill="FFFFFF"/>
        </w:rPr>
        <w:t>Panizza, U., &amp; Presbitero, A. F. (2013). Public debt and economic growth in advanced economies: A survey. </w:t>
      </w:r>
      <w:r w:rsidRPr="006E6951">
        <w:rPr>
          <w:rFonts w:ascii="Times New Roman" w:hAnsi="Times New Roman" w:cs="Times New Roman"/>
          <w:i/>
          <w:iCs/>
          <w:color w:val="222222"/>
          <w:sz w:val="24"/>
          <w:szCs w:val="24"/>
          <w:shd w:val="clear" w:color="auto" w:fill="FFFFFF"/>
        </w:rPr>
        <w:t>Swiss Journal of Economics and Statistics</w:t>
      </w:r>
      <w:r w:rsidRPr="006E6951">
        <w:rPr>
          <w:rFonts w:ascii="Times New Roman" w:hAnsi="Times New Roman" w:cs="Times New Roman"/>
          <w:color w:val="222222"/>
          <w:sz w:val="24"/>
          <w:szCs w:val="24"/>
          <w:shd w:val="clear" w:color="auto" w:fill="FFFFFF"/>
        </w:rPr>
        <w:t>, </w:t>
      </w:r>
      <w:r w:rsidRPr="006E6951">
        <w:rPr>
          <w:rFonts w:ascii="Times New Roman" w:hAnsi="Times New Roman" w:cs="Times New Roman"/>
          <w:i/>
          <w:iCs/>
          <w:color w:val="222222"/>
          <w:sz w:val="24"/>
          <w:szCs w:val="24"/>
          <w:shd w:val="clear" w:color="auto" w:fill="FFFFFF"/>
        </w:rPr>
        <w:t>149</w:t>
      </w:r>
      <w:r w:rsidRPr="006E6951">
        <w:rPr>
          <w:rFonts w:ascii="Times New Roman" w:hAnsi="Times New Roman" w:cs="Times New Roman"/>
          <w:color w:val="222222"/>
          <w:sz w:val="24"/>
          <w:szCs w:val="24"/>
          <w:shd w:val="clear" w:color="auto" w:fill="FFFFFF"/>
        </w:rPr>
        <w:t>(2), 175-204.</w:t>
      </w:r>
    </w:p>
    <w:p w:rsidR="006E6951" w:rsidRPr="006E6951" w:rsidRDefault="001C0B43" w:rsidP="006E6951">
      <w:pPr>
        <w:spacing w:line="480" w:lineRule="auto"/>
        <w:ind w:left="720" w:hanging="720"/>
        <w:rPr>
          <w:rFonts w:ascii="Times New Roman" w:hAnsi="Times New Roman" w:cs="Times New Roman"/>
          <w:color w:val="222222"/>
          <w:sz w:val="24"/>
          <w:szCs w:val="24"/>
          <w:shd w:val="clear" w:color="auto" w:fill="FFFFFF"/>
        </w:rPr>
      </w:pPr>
      <w:r w:rsidRPr="006E6951">
        <w:rPr>
          <w:rFonts w:ascii="Times New Roman" w:hAnsi="Times New Roman" w:cs="Times New Roman"/>
          <w:color w:val="222222"/>
          <w:sz w:val="24"/>
          <w:szCs w:val="24"/>
          <w:shd w:val="clear" w:color="auto" w:fill="FFFFFF"/>
        </w:rPr>
        <w:t>Penrose, E. T. (2017). Foreign Investment and the Growth of the Firm 1. In </w:t>
      </w:r>
      <w:r w:rsidRPr="006E6951">
        <w:rPr>
          <w:rFonts w:ascii="Times New Roman" w:hAnsi="Times New Roman" w:cs="Times New Roman"/>
          <w:i/>
          <w:iCs/>
          <w:color w:val="222222"/>
          <w:sz w:val="24"/>
          <w:szCs w:val="24"/>
          <w:shd w:val="clear" w:color="auto" w:fill="FFFFFF"/>
        </w:rPr>
        <w:t>International Business</w:t>
      </w:r>
      <w:r w:rsidRPr="006E6951">
        <w:rPr>
          <w:rFonts w:ascii="Times New Roman" w:hAnsi="Times New Roman" w:cs="Times New Roman"/>
          <w:color w:val="222222"/>
          <w:sz w:val="24"/>
          <w:szCs w:val="24"/>
          <w:shd w:val="clear" w:color="auto" w:fill="FFFFFF"/>
        </w:rPr>
        <w:t> (pp. 33-48). Routledge.</w:t>
      </w:r>
    </w:p>
    <w:p w:rsidR="006E6951" w:rsidRPr="006E6951" w:rsidRDefault="001C0B43" w:rsidP="006E6951">
      <w:pPr>
        <w:spacing w:line="480" w:lineRule="auto"/>
        <w:ind w:left="720" w:hanging="720"/>
        <w:rPr>
          <w:rFonts w:ascii="Times New Roman" w:hAnsi="Times New Roman" w:cs="Times New Roman"/>
          <w:color w:val="222222"/>
          <w:sz w:val="24"/>
          <w:szCs w:val="24"/>
          <w:shd w:val="clear" w:color="auto" w:fill="FFFFFF"/>
        </w:rPr>
      </w:pPr>
      <w:r w:rsidRPr="006E6951">
        <w:rPr>
          <w:rFonts w:ascii="Times New Roman" w:hAnsi="Times New Roman" w:cs="Times New Roman"/>
          <w:color w:val="222222"/>
          <w:sz w:val="24"/>
          <w:szCs w:val="24"/>
          <w:shd w:val="clear" w:color="auto" w:fill="FFFFFF"/>
        </w:rPr>
        <w:t>Schularick, M. (2014). Public and private debt: the historical record (1870–2010). </w:t>
      </w:r>
      <w:r w:rsidRPr="006E6951">
        <w:rPr>
          <w:rFonts w:ascii="Times New Roman" w:hAnsi="Times New Roman" w:cs="Times New Roman"/>
          <w:i/>
          <w:iCs/>
          <w:color w:val="222222"/>
          <w:sz w:val="24"/>
          <w:szCs w:val="24"/>
          <w:shd w:val="clear" w:color="auto" w:fill="FFFFFF"/>
        </w:rPr>
        <w:t>German Economic Review</w:t>
      </w:r>
      <w:r w:rsidRPr="006E6951">
        <w:rPr>
          <w:rFonts w:ascii="Times New Roman" w:hAnsi="Times New Roman" w:cs="Times New Roman"/>
          <w:color w:val="222222"/>
          <w:sz w:val="24"/>
          <w:szCs w:val="24"/>
          <w:shd w:val="clear" w:color="auto" w:fill="FFFFFF"/>
        </w:rPr>
        <w:t>, </w:t>
      </w:r>
      <w:r w:rsidRPr="006E6951">
        <w:rPr>
          <w:rFonts w:ascii="Times New Roman" w:hAnsi="Times New Roman" w:cs="Times New Roman"/>
          <w:i/>
          <w:iCs/>
          <w:color w:val="222222"/>
          <w:sz w:val="24"/>
          <w:szCs w:val="24"/>
          <w:shd w:val="clear" w:color="auto" w:fill="FFFFFF"/>
        </w:rPr>
        <w:t>15</w:t>
      </w:r>
      <w:r w:rsidRPr="006E6951">
        <w:rPr>
          <w:rFonts w:ascii="Times New Roman" w:hAnsi="Times New Roman" w:cs="Times New Roman"/>
          <w:color w:val="222222"/>
          <w:sz w:val="24"/>
          <w:szCs w:val="24"/>
          <w:shd w:val="clear" w:color="auto" w:fill="FFFFFF"/>
        </w:rPr>
        <w:t>(1), 191-207.</w:t>
      </w:r>
    </w:p>
    <w:p w:rsidR="00E85A4C" w:rsidRDefault="00E85A4C" w:rsidP="00770630">
      <w:pPr>
        <w:spacing w:line="480" w:lineRule="auto"/>
        <w:rPr>
          <w:rFonts w:ascii="Times New Roman" w:hAnsi="Times New Roman" w:cs="Times New Roman"/>
          <w:sz w:val="24"/>
          <w:szCs w:val="24"/>
        </w:rPr>
      </w:pPr>
    </w:p>
    <w:p w:rsidR="00E85A4C" w:rsidRPr="00E85A4C" w:rsidRDefault="00E85A4C" w:rsidP="00770630">
      <w:pPr>
        <w:spacing w:line="480" w:lineRule="auto"/>
        <w:rPr>
          <w:rFonts w:ascii="Times New Roman" w:hAnsi="Times New Roman" w:cs="Times New Roman"/>
          <w:sz w:val="24"/>
          <w:szCs w:val="24"/>
        </w:rPr>
      </w:pPr>
    </w:p>
    <w:sectPr w:rsidR="00E85A4C" w:rsidRPr="00E85A4C" w:rsidSect="002E59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631" w:rsidRDefault="00D17631">
      <w:pPr>
        <w:spacing w:after="0" w:line="240" w:lineRule="auto"/>
      </w:pPr>
      <w:r>
        <w:separator/>
      </w:r>
    </w:p>
  </w:endnote>
  <w:endnote w:type="continuationSeparator" w:id="0">
    <w:p w:rsidR="00D17631" w:rsidRDefault="00D1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631" w:rsidRDefault="00D17631">
      <w:pPr>
        <w:spacing w:after="0" w:line="240" w:lineRule="auto"/>
      </w:pPr>
      <w:r>
        <w:separator/>
      </w:r>
    </w:p>
  </w:footnote>
  <w:footnote w:type="continuationSeparator" w:id="0">
    <w:p w:rsidR="00D17631" w:rsidRDefault="00D17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93967166"/>
      <w:docPartObj>
        <w:docPartGallery w:val="Page Numbers (Top of Page)"/>
        <w:docPartUnique/>
      </w:docPartObj>
    </w:sdtPr>
    <w:sdtEndPr>
      <w:rPr>
        <w:noProof/>
      </w:rPr>
    </w:sdtEndPr>
    <w:sdtContent>
      <w:p w:rsidR="002E59C6" w:rsidRPr="002E59C6" w:rsidRDefault="001C0B43" w:rsidP="002E59C6">
        <w:pPr>
          <w:pStyle w:val="Header"/>
          <w:spacing w:line="480" w:lineRule="auto"/>
          <w:jc w:val="right"/>
          <w:rPr>
            <w:rFonts w:ascii="Times New Roman" w:hAnsi="Times New Roman" w:cs="Times New Roman"/>
            <w:sz w:val="24"/>
            <w:szCs w:val="24"/>
          </w:rPr>
        </w:pPr>
        <w:r w:rsidRPr="002E59C6">
          <w:rPr>
            <w:rFonts w:ascii="Times New Roman" w:hAnsi="Times New Roman" w:cs="Times New Roman"/>
            <w:sz w:val="24"/>
            <w:szCs w:val="24"/>
          </w:rPr>
          <w:t>THE GREAT SERVICE CLEANING AND MAINTENANCE COMPANY</w:t>
        </w:r>
        <w:r w:rsidRPr="002E59C6">
          <w:rPr>
            <w:rFonts w:ascii="Times New Roman" w:hAnsi="Times New Roman" w:cs="Times New Roman"/>
            <w:sz w:val="24"/>
            <w:szCs w:val="24"/>
          </w:rPr>
          <w:tab/>
        </w:r>
        <w:r w:rsidRPr="002E59C6">
          <w:rPr>
            <w:rFonts w:ascii="Times New Roman" w:hAnsi="Times New Roman" w:cs="Times New Roman"/>
            <w:sz w:val="24"/>
            <w:szCs w:val="24"/>
          </w:rPr>
          <w:tab/>
        </w:r>
        <w:r w:rsidRPr="002E59C6">
          <w:rPr>
            <w:rFonts w:ascii="Times New Roman" w:hAnsi="Times New Roman" w:cs="Times New Roman"/>
            <w:sz w:val="24"/>
            <w:szCs w:val="24"/>
          </w:rPr>
          <w:fldChar w:fldCharType="begin"/>
        </w:r>
        <w:r w:rsidRPr="002E59C6">
          <w:rPr>
            <w:rFonts w:ascii="Times New Roman" w:hAnsi="Times New Roman" w:cs="Times New Roman"/>
            <w:sz w:val="24"/>
            <w:szCs w:val="24"/>
          </w:rPr>
          <w:instrText xml:space="preserve"> PAGE   \* MERGEFORMAT </w:instrText>
        </w:r>
        <w:r w:rsidRPr="002E59C6">
          <w:rPr>
            <w:rFonts w:ascii="Times New Roman" w:hAnsi="Times New Roman" w:cs="Times New Roman"/>
            <w:sz w:val="24"/>
            <w:szCs w:val="24"/>
          </w:rPr>
          <w:fldChar w:fldCharType="separate"/>
        </w:r>
        <w:r w:rsidR="00656FA9">
          <w:rPr>
            <w:rFonts w:ascii="Times New Roman" w:hAnsi="Times New Roman" w:cs="Times New Roman"/>
            <w:noProof/>
            <w:sz w:val="24"/>
            <w:szCs w:val="24"/>
          </w:rPr>
          <w:t>2</w:t>
        </w:r>
        <w:r w:rsidRPr="002E59C6">
          <w:rPr>
            <w:rFonts w:ascii="Times New Roman" w:hAnsi="Times New Roman" w:cs="Times New Roman"/>
            <w:noProof/>
            <w:sz w:val="24"/>
            <w:szCs w:val="24"/>
          </w:rPr>
          <w:fldChar w:fldCharType="end"/>
        </w:r>
      </w:p>
    </w:sdtContent>
  </w:sdt>
  <w:p w:rsidR="002E59C6" w:rsidRPr="002E59C6" w:rsidRDefault="002E59C6" w:rsidP="002E59C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9C6" w:rsidRPr="002E59C6" w:rsidRDefault="001C0B43" w:rsidP="002E59C6">
    <w:pPr>
      <w:pStyle w:val="Header"/>
      <w:spacing w:line="480" w:lineRule="auto"/>
      <w:rPr>
        <w:rFonts w:ascii="Times New Roman" w:hAnsi="Times New Roman" w:cs="Times New Roman"/>
        <w:sz w:val="24"/>
        <w:szCs w:val="24"/>
      </w:rPr>
    </w:pPr>
    <w:r w:rsidRPr="002E59C6">
      <w:rPr>
        <w:rFonts w:ascii="Times New Roman" w:hAnsi="Times New Roman" w:cs="Times New Roman"/>
        <w:sz w:val="24"/>
        <w:szCs w:val="24"/>
      </w:rPr>
      <w:t>Running head: THE GREAT SERVICE CLEANING AND MAINTENANCE COMPANY</w:t>
    </w:r>
    <w:r w:rsidRPr="002E59C6">
      <w:rPr>
        <w:rFonts w:ascii="Times New Roman" w:hAnsi="Times New Roman" w:cs="Times New Roman"/>
        <w:sz w:val="24"/>
        <w:szCs w:val="24"/>
      </w:rPr>
      <w:tab/>
    </w:r>
    <w:r w:rsidRPr="002E59C6">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6795E"/>
    <w:multiLevelType w:val="hybridMultilevel"/>
    <w:tmpl w:val="25EE8AA6"/>
    <w:lvl w:ilvl="0" w:tplc="BCC8D7E8">
      <w:start w:val="1"/>
      <w:numFmt w:val="decimal"/>
      <w:lvlText w:val="%1)"/>
      <w:lvlJc w:val="left"/>
      <w:pPr>
        <w:ind w:left="720" w:hanging="360"/>
      </w:pPr>
      <w:rPr>
        <w:rFonts w:hint="default"/>
      </w:rPr>
    </w:lvl>
    <w:lvl w:ilvl="1" w:tplc="90FEF954" w:tentative="1">
      <w:start w:val="1"/>
      <w:numFmt w:val="lowerLetter"/>
      <w:lvlText w:val="%2."/>
      <w:lvlJc w:val="left"/>
      <w:pPr>
        <w:ind w:left="1440" w:hanging="360"/>
      </w:pPr>
    </w:lvl>
    <w:lvl w:ilvl="2" w:tplc="CCD0CC48" w:tentative="1">
      <w:start w:val="1"/>
      <w:numFmt w:val="lowerRoman"/>
      <w:lvlText w:val="%3."/>
      <w:lvlJc w:val="right"/>
      <w:pPr>
        <w:ind w:left="2160" w:hanging="180"/>
      </w:pPr>
    </w:lvl>
    <w:lvl w:ilvl="3" w:tplc="8886FE74" w:tentative="1">
      <w:start w:val="1"/>
      <w:numFmt w:val="decimal"/>
      <w:lvlText w:val="%4."/>
      <w:lvlJc w:val="left"/>
      <w:pPr>
        <w:ind w:left="2880" w:hanging="360"/>
      </w:pPr>
    </w:lvl>
    <w:lvl w:ilvl="4" w:tplc="39B8BC6A" w:tentative="1">
      <w:start w:val="1"/>
      <w:numFmt w:val="lowerLetter"/>
      <w:lvlText w:val="%5."/>
      <w:lvlJc w:val="left"/>
      <w:pPr>
        <w:ind w:left="3600" w:hanging="360"/>
      </w:pPr>
    </w:lvl>
    <w:lvl w:ilvl="5" w:tplc="D0444DAE" w:tentative="1">
      <w:start w:val="1"/>
      <w:numFmt w:val="lowerRoman"/>
      <w:lvlText w:val="%6."/>
      <w:lvlJc w:val="right"/>
      <w:pPr>
        <w:ind w:left="4320" w:hanging="180"/>
      </w:pPr>
    </w:lvl>
    <w:lvl w:ilvl="6" w:tplc="943EB400" w:tentative="1">
      <w:start w:val="1"/>
      <w:numFmt w:val="decimal"/>
      <w:lvlText w:val="%7."/>
      <w:lvlJc w:val="left"/>
      <w:pPr>
        <w:ind w:left="5040" w:hanging="360"/>
      </w:pPr>
    </w:lvl>
    <w:lvl w:ilvl="7" w:tplc="E4788452" w:tentative="1">
      <w:start w:val="1"/>
      <w:numFmt w:val="lowerLetter"/>
      <w:lvlText w:val="%8."/>
      <w:lvlJc w:val="left"/>
      <w:pPr>
        <w:ind w:left="5760" w:hanging="360"/>
      </w:pPr>
    </w:lvl>
    <w:lvl w:ilvl="8" w:tplc="CB56224A" w:tentative="1">
      <w:start w:val="1"/>
      <w:numFmt w:val="lowerRoman"/>
      <w:lvlText w:val="%9."/>
      <w:lvlJc w:val="right"/>
      <w:pPr>
        <w:ind w:left="6480" w:hanging="180"/>
      </w:pPr>
    </w:lvl>
  </w:abstractNum>
  <w:abstractNum w:abstractNumId="1" w15:restartNumberingAfterBreak="0">
    <w:nsid w:val="0A5D453F"/>
    <w:multiLevelType w:val="hybridMultilevel"/>
    <w:tmpl w:val="95A8D3D8"/>
    <w:lvl w:ilvl="0" w:tplc="7A36FFC6">
      <w:start w:val="1"/>
      <w:numFmt w:val="decimal"/>
      <w:lvlText w:val="%1)"/>
      <w:lvlJc w:val="left"/>
      <w:pPr>
        <w:ind w:left="720" w:hanging="360"/>
      </w:pPr>
      <w:rPr>
        <w:rFonts w:hint="default"/>
      </w:rPr>
    </w:lvl>
    <w:lvl w:ilvl="1" w:tplc="E9FE799E" w:tentative="1">
      <w:start w:val="1"/>
      <w:numFmt w:val="lowerLetter"/>
      <w:lvlText w:val="%2."/>
      <w:lvlJc w:val="left"/>
      <w:pPr>
        <w:ind w:left="1440" w:hanging="360"/>
      </w:pPr>
    </w:lvl>
    <w:lvl w:ilvl="2" w:tplc="2EDE6840" w:tentative="1">
      <w:start w:val="1"/>
      <w:numFmt w:val="lowerRoman"/>
      <w:lvlText w:val="%3."/>
      <w:lvlJc w:val="right"/>
      <w:pPr>
        <w:ind w:left="2160" w:hanging="180"/>
      </w:pPr>
    </w:lvl>
    <w:lvl w:ilvl="3" w:tplc="F42CDC42" w:tentative="1">
      <w:start w:val="1"/>
      <w:numFmt w:val="decimal"/>
      <w:lvlText w:val="%4."/>
      <w:lvlJc w:val="left"/>
      <w:pPr>
        <w:ind w:left="2880" w:hanging="360"/>
      </w:pPr>
    </w:lvl>
    <w:lvl w:ilvl="4" w:tplc="6B483A32" w:tentative="1">
      <w:start w:val="1"/>
      <w:numFmt w:val="lowerLetter"/>
      <w:lvlText w:val="%5."/>
      <w:lvlJc w:val="left"/>
      <w:pPr>
        <w:ind w:left="3600" w:hanging="360"/>
      </w:pPr>
    </w:lvl>
    <w:lvl w:ilvl="5" w:tplc="14D4796C" w:tentative="1">
      <w:start w:val="1"/>
      <w:numFmt w:val="lowerRoman"/>
      <w:lvlText w:val="%6."/>
      <w:lvlJc w:val="right"/>
      <w:pPr>
        <w:ind w:left="4320" w:hanging="180"/>
      </w:pPr>
    </w:lvl>
    <w:lvl w:ilvl="6" w:tplc="99086586" w:tentative="1">
      <w:start w:val="1"/>
      <w:numFmt w:val="decimal"/>
      <w:lvlText w:val="%7."/>
      <w:lvlJc w:val="left"/>
      <w:pPr>
        <w:ind w:left="5040" w:hanging="360"/>
      </w:pPr>
    </w:lvl>
    <w:lvl w:ilvl="7" w:tplc="4C163A5A" w:tentative="1">
      <w:start w:val="1"/>
      <w:numFmt w:val="lowerLetter"/>
      <w:lvlText w:val="%8."/>
      <w:lvlJc w:val="left"/>
      <w:pPr>
        <w:ind w:left="5760" w:hanging="360"/>
      </w:pPr>
    </w:lvl>
    <w:lvl w:ilvl="8" w:tplc="18E68F88" w:tentative="1">
      <w:start w:val="1"/>
      <w:numFmt w:val="lowerRoman"/>
      <w:lvlText w:val="%9."/>
      <w:lvlJc w:val="right"/>
      <w:pPr>
        <w:ind w:left="6480" w:hanging="180"/>
      </w:pPr>
    </w:lvl>
  </w:abstractNum>
  <w:abstractNum w:abstractNumId="2" w15:restartNumberingAfterBreak="0">
    <w:nsid w:val="2A012D1A"/>
    <w:multiLevelType w:val="multilevel"/>
    <w:tmpl w:val="086E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D94615"/>
    <w:multiLevelType w:val="multilevel"/>
    <w:tmpl w:val="CD96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E21655"/>
    <w:multiLevelType w:val="hybridMultilevel"/>
    <w:tmpl w:val="16FC3B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QwNTM0MDG3MDY3sDBV0lEKTi0uzszPAykwrAUAZDkoOywAAAA="/>
  </w:docVars>
  <w:rsids>
    <w:rsidRoot w:val="002E59C6"/>
    <w:rsid w:val="000036C9"/>
    <w:rsid w:val="00090012"/>
    <w:rsid w:val="000E0380"/>
    <w:rsid w:val="00186F6D"/>
    <w:rsid w:val="001C0B43"/>
    <w:rsid w:val="0023647B"/>
    <w:rsid w:val="002E59C6"/>
    <w:rsid w:val="00311A52"/>
    <w:rsid w:val="00374598"/>
    <w:rsid w:val="003A462A"/>
    <w:rsid w:val="003B3847"/>
    <w:rsid w:val="0043023F"/>
    <w:rsid w:val="00445979"/>
    <w:rsid w:val="005B37C2"/>
    <w:rsid w:val="005E646A"/>
    <w:rsid w:val="00656FA9"/>
    <w:rsid w:val="006E6951"/>
    <w:rsid w:val="0070675B"/>
    <w:rsid w:val="00770630"/>
    <w:rsid w:val="00785059"/>
    <w:rsid w:val="00790BBB"/>
    <w:rsid w:val="007C400F"/>
    <w:rsid w:val="0084030F"/>
    <w:rsid w:val="008E6AB8"/>
    <w:rsid w:val="009922DB"/>
    <w:rsid w:val="009A5D35"/>
    <w:rsid w:val="009D5F80"/>
    <w:rsid w:val="00A5296B"/>
    <w:rsid w:val="00A53355"/>
    <w:rsid w:val="00A6036A"/>
    <w:rsid w:val="00A6607A"/>
    <w:rsid w:val="00AA2CC8"/>
    <w:rsid w:val="00AB3ABE"/>
    <w:rsid w:val="00AC01AF"/>
    <w:rsid w:val="00D17631"/>
    <w:rsid w:val="00D47449"/>
    <w:rsid w:val="00DB42AF"/>
    <w:rsid w:val="00E85A4C"/>
    <w:rsid w:val="00EA3366"/>
    <w:rsid w:val="00EC4047"/>
    <w:rsid w:val="00ED3E2F"/>
    <w:rsid w:val="00F04BF6"/>
    <w:rsid w:val="00F7063A"/>
    <w:rsid w:val="00FA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7AC158-6A41-4E04-BE3A-655DF6EB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5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9C6"/>
  </w:style>
  <w:style w:type="paragraph" w:styleId="Footer">
    <w:name w:val="footer"/>
    <w:basedOn w:val="Normal"/>
    <w:link w:val="FooterChar"/>
    <w:uiPriority w:val="99"/>
    <w:unhideWhenUsed/>
    <w:rsid w:val="002E5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9C6"/>
  </w:style>
  <w:style w:type="paragraph" w:styleId="ListParagraph">
    <w:name w:val="List Paragraph"/>
    <w:basedOn w:val="Normal"/>
    <w:uiPriority w:val="34"/>
    <w:qFormat/>
    <w:rsid w:val="00770630"/>
    <w:pPr>
      <w:ind w:left="720"/>
      <w:contextualSpacing/>
    </w:pPr>
  </w:style>
  <w:style w:type="paragraph" w:styleId="NormalWeb">
    <w:name w:val="Normal (Web)"/>
    <w:basedOn w:val="Normal"/>
    <w:uiPriority w:val="99"/>
    <w:semiHidden/>
    <w:unhideWhenUsed/>
    <w:rsid w:val="007706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42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7</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dcterms:created xsi:type="dcterms:W3CDTF">2018-05-26T09:13:00Z</dcterms:created>
  <dcterms:modified xsi:type="dcterms:W3CDTF">2018-05-27T00:55:00Z</dcterms:modified>
</cp:coreProperties>
</file>